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0"/>
          <w:szCs w:val="20"/>
          <w:lang w:val="fr-FR" w:eastAsia="it-IT"/>
        </w:rPr>
      </w:pPr>
      <w:r w:rsidRPr="005943ED">
        <w:rPr>
          <w:rFonts w:ascii="Verdana" w:eastAsia="Times New Roman" w:hAnsi="Verdana" w:cs="Times New Roman"/>
          <w:b/>
          <w:bCs/>
          <w:color w:val="0000FF"/>
          <w:sz w:val="20"/>
          <w:lang w:val="fr-FR" w:eastAsia="it-IT"/>
        </w:rPr>
        <w:t>S T A T U T O</w:t>
      </w:r>
    </w:p>
    <w:p w:rsidR="005943ED" w:rsidRPr="005943ED" w:rsidRDefault="005943ED" w:rsidP="005943ED">
      <w:pPr>
        <w:widowControl w:val="0"/>
        <w:adjustRightInd w:val="0"/>
        <w:spacing w:line="285" w:lineRule="atLeast"/>
        <w:jc w:val="center"/>
        <w:rPr>
          <w:rFonts w:ascii="Verdana" w:eastAsia="Times New Roman" w:hAnsi="Verdana" w:cs="Times New Roman"/>
          <w:b/>
          <w:bCs/>
          <w:color w:val="0000FF"/>
          <w:sz w:val="20"/>
          <w:lang w:eastAsia="it-IT"/>
        </w:rPr>
      </w:pPr>
      <w:r w:rsidRPr="005943ED">
        <w:rPr>
          <w:rFonts w:ascii="Verdana" w:eastAsia="Times New Roman" w:hAnsi="Verdana" w:cs="Times New Roman"/>
          <w:b/>
          <w:bCs/>
          <w:color w:val="0000FF"/>
          <w:sz w:val="20"/>
          <w:lang w:eastAsia="it-IT"/>
        </w:rPr>
        <w:t xml:space="preserve">FONDO DI ASSISTENZA SANITARIA INTEGRATIVA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PER I DIPENDENTI DA AZIENDE DEL SETTORE TURISMO</w:t>
      </w:r>
      <w:r w:rsidRPr="005943ED">
        <w:rPr>
          <w:rFonts w:ascii="Verdana" w:eastAsia="Times New Roman" w:hAnsi="Verdana" w:cs="Times New Roman"/>
          <w:color w:val="000000"/>
          <w:sz w:val="20"/>
          <w:szCs w:val="20"/>
          <w:lang w:eastAsia="it-IT"/>
        </w:rPr>
        <w:t xml:space="preserve"> </w:t>
      </w:r>
    </w:p>
    <w:p w:rsidR="005943ED" w:rsidRPr="005943ED" w:rsidRDefault="005943ED" w:rsidP="005943ED">
      <w:pPr>
        <w:widowControl w:val="0"/>
        <w:adjustRightInd w:val="0"/>
        <w:spacing w:line="285" w:lineRule="atLeast"/>
        <w:jc w:val="center"/>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1</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COSTITUZIONE</w:t>
      </w:r>
    </w:p>
    <w:p w:rsidR="005943ED" w:rsidRPr="005943ED" w:rsidRDefault="005943ED" w:rsidP="005943ED">
      <w:pPr>
        <w:widowControl w:val="0"/>
        <w:adjustRightInd w:val="0"/>
        <w:spacing w:line="285" w:lineRule="atLeast"/>
        <w:jc w:val="center"/>
        <w:rPr>
          <w:rFonts w:ascii="Verdana" w:eastAsia="Times New Roman" w:hAnsi="Verdana" w:cs="Times New Roman"/>
          <w:color w:val="0000FF"/>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In attuazione del Contratto Collettivo Nazionale di Lavoro per dipendenti da aziende del settore Turismo 19 luglio 2003 è costituito il "</w:t>
      </w:r>
      <w:r w:rsidRPr="005943ED">
        <w:rPr>
          <w:rFonts w:ascii="Verdana" w:eastAsia="Times New Roman" w:hAnsi="Verdana" w:cs="Times New Roman"/>
          <w:b/>
          <w:bCs/>
          <w:color w:val="0000FF"/>
          <w:sz w:val="20"/>
          <w:szCs w:val="20"/>
          <w:lang w:eastAsia="it-IT"/>
        </w:rPr>
        <w:t>FONDO DI ASSISTENZA SANITARIA INTEGRATIVA PER I DIPENDENTI DA AZIENDE DEL SETTORE TURISMO”</w:t>
      </w:r>
      <w:r w:rsidRPr="005943ED">
        <w:rPr>
          <w:rFonts w:ascii="Verdana" w:eastAsia="Times New Roman" w:hAnsi="Verdana" w:cs="Times New Roman"/>
          <w:color w:val="0000FF"/>
          <w:sz w:val="20"/>
          <w:szCs w:val="20"/>
          <w:lang w:eastAsia="it-IT"/>
        </w:rPr>
        <w:t xml:space="preserve">, in breve denominato </w:t>
      </w:r>
      <w:r w:rsidRPr="005943ED">
        <w:rPr>
          <w:rFonts w:ascii="Verdana" w:eastAsia="Times New Roman" w:hAnsi="Verdana" w:cs="Times New Roman"/>
          <w:b/>
          <w:bCs/>
          <w:color w:val="0000FF"/>
          <w:sz w:val="20"/>
          <w:szCs w:val="20"/>
          <w:lang w:eastAsia="it-IT"/>
        </w:rPr>
        <w:t>"FAST"</w:t>
      </w:r>
      <w:r w:rsidRPr="005943ED">
        <w:rPr>
          <w:rFonts w:ascii="Verdana" w:eastAsia="Times New Roman" w:hAnsi="Verdana" w:cs="Times New Roman"/>
          <w:bCs/>
          <w:color w:val="0000FF"/>
          <w:sz w:val="20"/>
          <w:szCs w:val="20"/>
          <w:lang w:eastAsia="it-IT"/>
        </w:rPr>
        <w:t>,</w:t>
      </w:r>
      <w:r w:rsidRPr="005943ED">
        <w:rPr>
          <w:rFonts w:ascii="Verdana" w:eastAsia="Times New Roman" w:hAnsi="Verdana" w:cs="Times New Roman"/>
          <w:color w:val="0000FF"/>
          <w:sz w:val="20"/>
          <w:szCs w:val="20"/>
          <w:lang w:eastAsia="it-IT"/>
        </w:rPr>
        <w:t xml:space="preserve"> in seguito chiamato fondo.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fondo ha natura paritetica tra le organizzazioni sindacali dei datori di lavoro e le organizzazioni sindacali dei lavoratori.</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t>Il fondo, ai sensi dell'articolo 36 e seguenti del codice civile, ha natura giuridica di associazione non riconosciuta e non persegue finalità di lucro.</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2</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SEDE E DURATA</w:t>
      </w:r>
    </w:p>
    <w:p w:rsidR="005943ED" w:rsidRPr="005943ED" w:rsidRDefault="005943ED" w:rsidP="005943ED">
      <w:pPr>
        <w:widowControl w:val="0"/>
        <w:adjustRightInd w:val="0"/>
        <w:spacing w:line="285" w:lineRule="atLeast"/>
        <w:jc w:val="center"/>
        <w:rPr>
          <w:rFonts w:ascii="Verdana" w:eastAsia="Times New Roman" w:hAnsi="Verdana" w:cs="Times New Roman"/>
          <w:color w:val="0000FF"/>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fondo ha sede in Roma.</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t>La durata del fondo è illimitata.</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3</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SOCI</w:t>
      </w:r>
      <w:r w:rsidRPr="005943ED">
        <w:rPr>
          <w:rFonts w:ascii="Verdana" w:eastAsia="Times New Roman" w:hAnsi="Verdana" w:cs="Times New Roman"/>
          <w:color w:val="0000FF"/>
          <w:sz w:val="20"/>
          <w:szCs w:val="20"/>
          <w:lang w:eastAsia="it-IT"/>
        </w:rPr>
        <w:t xml:space="preserve"> </w:t>
      </w:r>
    </w:p>
    <w:p w:rsidR="005943ED" w:rsidRPr="005943ED" w:rsidRDefault="005943ED" w:rsidP="005943ED">
      <w:pPr>
        <w:widowControl w:val="0"/>
        <w:adjustRightInd w:val="0"/>
        <w:spacing w:line="285" w:lineRule="atLeast"/>
        <w:jc w:val="center"/>
        <w:rPr>
          <w:rFonts w:ascii="Verdana" w:eastAsia="Times New Roman" w:hAnsi="Verdana" w:cs="Times New Roman"/>
          <w:color w:val="0000FF"/>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Sono soci del fondo FEDERALBERGHI, FAITA, FILCAMS-CGIL, FISASCAT-CISL e UILTuCS-UIL.</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t>Acquisiscono la qualifica di socio anche le altre federazioni firmatarie del CCNL Turismo del 19 luglio 2003 che entro 12 (dodici) mesi dalla data di costituzione del fondo aderiscono al fondo attraverso formale richiesta accolta dall'Assemblea.</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4</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ISCRITTI</w:t>
      </w:r>
    </w:p>
    <w:p w:rsidR="005943ED" w:rsidRPr="005943ED" w:rsidRDefault="005943ED" w:rsidP="005943ED">
      <w:pPr>
        <w:widowControl w:val="0"/>
        <w:adjustRightInd w:val="0"/>
        <w:spacing w:line="285" w:lineRule="atLeast"/>
        <w:jc w:val="center"/>
        <w:rPr>
          <w:rFonts w:ascii="Verdana" w:eastAsia="Times New Roman" w:hAnsi="Verdana" w:cs="Times New Roman"/>
          <w:color w:val="0000FF"/>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Assumono la qualifica di iscritti al fondo le aziende ed i lavoratori dipendenti, in costanza di rapporto di lavoro, ai quali si applica il CCNL Turismo ovvero i contratti di settori affini che lo prevedano esplicitamente.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Possono altresì essere iscritti, con le modalità ed i limiti previsti dal CCNL Turismo e dal Regolamento, coloro che, per qualsiasi causa, hanno perso il possesso dei requisiti richiesti per l'iscrizione e ai quali il fondo autorizzi la prosecuzione volontaria della contribuzione.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regolamento del fondo può consentire l’iscrizione di altre categorie di lavoratori del settore turismo.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xml:space="preserve">L'iscrizione al fondo cessa a seguito di: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a) scioglimento, liquidazione o comunque cessazione, per qualsiasi causa, del fondo;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b) cessazione, per qualsiasi causa, degli iscritti medesimi;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c) esclusione, disposta in presenza di omissioni contributive, secondo quanto previsto dal regolamento.</w:t>
      </w:r>
    </w:p>
    <w:p w:rsidR="005943ED" w:rsidRPr="005943ED" w:rsidRDefault="005943ED" w:rsidP="005943ED">
      <w:pPr>
        <w:widowControl w:val="0"/>
        <w:adjustRightInd w:val="0"/>
        <w:spacing w:line="285" w:lineRule="atLeast"/>
        <w:jc w:val="center"/>
        <w:rPr>
          <w:rFonts w:ascii="Verdana" w:eastAsia="Times New Roman" w:hAnsi="Verdana" w:cs="Times New Roman"/>
          <w:color w:val="000000"/>
          <w:sz w:val="20"/>
          <w:szCs w:val="20"/>
          <w:lang w:eastAsia="it-IT"/>
        </w:rPr>
      </w:pP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5</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SCOPI E FINALITA'</w:t>
      </w:r>
      <w:r w:rsidRPr="005943ED">
        <w:rPr>
          <w:rFonts w:ascii="Verdana" w:eastAsia="Times New Roman" w:hAnsi="Verdana" w:cs="Times New Roman"/>
          <w:color w:val="0000FF"/>
          <w:sz w:val="20"/>
          <w:szCs w:val="20"/>
          <w:lang w:eastAsia="it-IT"/>
        </w:rPr>
        <w:t xml:space="preserve"> </w:t>
      </w:r>
    </w:p>
    <w:p w:rsidR="005943ED" w:rsidRPr="005943ED" w:rsidRDefault="005943ED" w:rsidP="005943ED">
      <w:pPr>
        <w:widowControl w:val="0"/>
        <w:adjustRightInd w:val="0"/>
        <w:spacing w:line="285" w:lineRule="atLeast"/>
        <w:jc w:val="center"/>
        <w:rPr>
          <w:rFonts w:ascii="Verdana" w:eastAsia="Times New Roman" w:hAnsi="Verdana" w:cs="Times New Roman"/>
          <w:color w:val="0000FF"/>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lastRenderedPageBreak/>
        <w:t xml:space="preserve">Il fondo ha lo scopo di garantire, ai lavoratori iscritti, trattamenti di assistenza sanitaria integrativa. </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6</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ORGANI STATUTARI</w:t>
      </w:r>
    </w:p>
    <w:p w:rsidR="005943ED" w:rsidRPr="005943ED" w:rsidRDefault="005943ED" w:rsidP="005943ED">
      <w:pPr>
        <w:widowControl w:val="0"/>
        <w:adjustRightInd w:val="0"/>
        <w:spacing w:line="285" w:lineRule="atLeast"/>
        <w:jc w:val="center"/>
        <w:rPr>
          <w:rFonts w:ascii="Verdana" w:eastAsia="Times New Roman" w:hAnsi="Verdana" w:cs="Times New Roman"/>
          <w:b/>
          <w:bCs/>
          <w:color w:val="0000FF"/>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Times New Roman" w:eastAsia="Times New Roman" w:hAnsi="Times New Roman" w:cs="Times New Roman"/>
          <w:sz w:val="24"/>
          <w:szCs w:val="24"/>
          <w:lang w:eastAsia="it-IT"/>
        </w:rPr>
      </w:pPr>
      <w:r w:rsidRPr="005943ED">
        <w:rPr>
          <w:rFonts w:ascii="Verdana" w:eastAsia="Times New Roman" w:hAnsi="Verdana" w:cs="Times New Roman"/>
          <w:color w:val="0000FF"/>
          <w:sz w:val="20"/>
          <w:szCs w:val="20"/>
          <w:lang w:eastAsia="it-IT"/>
        </w:rPr>
        <w:t>Sono organi del fondo: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xml:space="preserve">- L'Assemblea;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xml:space="preserve">- il Consiglio Direttivo;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il Presidente;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il Vice Presidente;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il Collegio dei Revisori Contabili.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Tutte le cariche hanno la durata di quattro anni e permangono sino all'approvazione del bilancio del quarto esercizio e possono essere riconfermate.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La funzione di ciascuno dei componenti degli organi statutari ha termine nel caso in cui la designazione sia revocata dal socio che l'ha espressa, ovvero in caso di decadenza e/o di dimissioni.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La decadenza si verifica laddove il componente dell'Organo risulti assente ingiustificato per almeno tre riunioni consecutive.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Nei predetti casi, qualora si tratti di componenti dell'Assemblea o del Consiglio d'Amministrazione, il socio che ne ha effettuato la designazione, provvede ad una nuova designazione nel più breve tempo ed in ogni caso entro i trenta giorni successivi.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 sostituti rimangono in carica per la durata del quadriennio in corso.</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t>La decadenza per qualsiasi ragione da componente degli Organi comporta la decadenza dalla carica di Presidente o di Vice Presidente del fondo.</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7</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ASSEMBLEA</w:t>
      </w:r>
      <w:r w:rsidRPr="005943ED">
        <w:rPr>
          <w:rFonts w:ascii="Verdana" w:eastAsia="Times New Roman" w:hAnsi="Verdana" w:cs="Times New Roman"/>
          <w:color w:val="0000FF"/>
          <w:sz w:val="20"/>
          <w:szCs w:val="20"/>
          <w:lang w:eastAsia="it-IT"/>
        </w:rPr>
        <w:t xml:space="preserve"> </w:t>
      </w:r>
    </w:p>
    <w:p w:rsidR="005943ED" w:rsidRPr="005943ED" w:rsidRDefault="005943ED" w:rsidP="005943ED">
      <w:pPr>
        <w:widowControl w:val="0"/>
        <w:adjustRightInd w:val="0"/>
        <w:spacing w:line="285" w:lineRule="atLeast"/>
        <w:jc w:val="center"/>
        <w:rPr>
          <w:rFonts w:ascii="Verdana" w:eastAsia="Times New Roman" w:hAnsi="Verdana" w:cs="Times New Roman"/>
          <w:color w:val="0000FF"/>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L’Assemblea è composta da un rappresentante per ciascuno dei soci di cui all’articolo 3.</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Al fine di garantire il rispetto del principio della pariteticità, ai rappresentanti delle organizzazioni sindacali dei datori di lavoro spetta complessivamente un numero di voti eguale al numero di voti spettanti complessivamente ai rappresentanti delle organizzazioni sindacali dei lavoratori, da ripartirsi con le seguenti modalità:</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- 6 (sei) voti spettano alle organizzazioni sindacali dei datori di lavoro, di cui 5 (cinque) alla FEDERALBERGHI, 1 (uno) alla FAITA;</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- 6 (sei) voti spettano alle organizzazioni sindacali dei lavoratori, di cui 2 (due) alla FILCAMS-CGIL, 2 (due) alla FISASCAT-CISL, 2 (due) alla UILTuCS-UIL.</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L'Assemblea ha competenza sulle seguenti materie: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a) nomina il Presidente, il Vice Presidente, i componenti del Consiglio Direttivo, i membri del Collegio dei Revisori Contabili, designati dai soci costituenti;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b) delibera la sostituzione dei componenti degli Organi a seguito di comunicazione da parte dei soci;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xml:space="preserve">c) approva, su proposta del Consiglio Direttivo, il bilancio consuntivo ed il budget previsionale;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d) delibera i compensi per i componenti di tutti gli Organi, nonché gli emolumenti a favore dei Revisori Contabili;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e) approva le eventuali modifiche statutarie, su proposta del Consiglio Direttivo;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f) fissa le linee guida strategiche e programmatiche del fondo;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g) delibera sulle domande di adesione dei nuovi soci;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h) delibera lo scioglimento del fondo e la nomina dei liquidatori.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lastRenderedPageBreak/>
        <w:t xml:space="preserve">L'Assemblea si riunisce almeno una volta l'anno.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L'Assemblea è convocata dal Presidente a mezzo lettera raccomandata ovvero a mezzo telefax oppure a mezzo posta elettronica da inviarsi almeno 15 giorni prima della riunione, ovvero, in caso d'urgenza a mezzo posta elettronica o telegramma, da inviarsi almeno 5 giorni prima della data della riunione.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Presidente, inoltre, deve convocare l'Assemblea qualora lo richieda almeno un terzo dei Rappresentanti in carica o dal Collegio dei revisori contabili.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Alle riunioni dell'Assemblea partecipa il Collegio dei Revisori Contabili.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xml:space="preserve">Le riunioni dell'Assemblea, in via ordinaria, sono valide con la presenza dei rappresentanti di almeno la metà più uno dei soci e le relative deliberazioni sono prese con una maggioranza superiore ai due terzi dei voti spettanti ai soci e purché sia garantita la rappresentatività bilaterale delle parti sociali.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Le deliberazioni relative alle modifiche statutarie e allo scioglimento, sono assunte all'unanimità, con la presenza dei rappresentanti di tutti i soci.</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t xml:space="preserve">In via eccezionale è consentito esprimere il voto attraverso delega ad altro componente dell'Assemblea. Ciascun componente non può esercitare più di due deleghe. </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8</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CONSIGLIO DIRETTIVO</w:t>
      </w:r>
    </w:p>
    <w:p w:rsidR="005943ED" w:rsidRPr="005943ED" w:rsidRDefault="005943ED" w:rsidP="005943ED">
      <w:pPr>
        <w:widowControl w:val="0"/>
        <w:adjustRightInd w:val="0"/>
        <w:spacing w:line="285" w:lineRule="atLeast"/>
        <w:jc w:val="center"/>
        <w:rPr>
          <w:rFonts w:ascii="Verdana" w:eastAsia="Times New Roman" w:hAnsi="Verdana" w:cs="Times New Roman"/>
          <w:color w:val="0000FF"/>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Consiglio Direttivo, è costituito da 12 (dodici) componenti, compresi il Presidente ed il Vice Presidente, così ripartiti: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- 6 (sei) in rappresentanza delle organizzazioni sindacali dei datori di lavoro, di cui 5 (cinque) designati dalla FEDERALBERGHI, 1 (uno) designato dalla FAITA;</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- 6 (sei) in rappresentanza delle organizzazioni sindacali dei lavoratori, di cui 2 (due) designati dalla FILCAMS-CGIL, 2 (due) designati dalla FISASCAT-CISL, 2 (due) designati dalla UILTuCS-UIL.</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Consiglio Direttivo si riunisce ogni qualvolta lo ritengano necessario il Presidente o almeno cinque dei suoi componenti; è convocato dal Presidente a mezzo telefax o posta elettronica almeno cinque giorni prima della riunione.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Direttore partecipa in funzione di segretario.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 componenti il Consiglio Direttivo durano in carica quattro anni e sono rieleggibili.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Spetta al Consiglio Direttivo: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xml:space="preserve">a) deliberare e compiere gli atti di ordinaria e straordinaria amministrazione;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b) deliberare gli atti necessari per l'attuazione dello scopo sociale;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c) definire il bilancio annuale consuntivo ed il budget previsionale del fondo, al fine di sottoporlo all'Assemblea per l'approvazione;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d) deliberare il piano triennale dell'attività del fondo;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e) decidere l'assunzione del personale nonché la eventuale nomina del Direttore;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f) approvare i Regolamenti;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g) decidere eventuali ricorsi, presentati dagli iscritti, secondo le modalità previste dal regolamento delle prestazioni;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xml:space="preserve">h) deliberare tutte le iniziative necessarie per la promozione ed il monitoraggio della gestione;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 deliberare l'esclusione degli iscritti, prevista all'articolo 4, lettera c);</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l) deliberare l'autorizzazione alla prosecuzione volontaria prevista all'articolo 4, comma 2;</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m) proporre all'approvazione dell'Assemblea le modifiche dello Statuto;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n) vigilare sull'esecuzione di tutte le deliberazioni assunte.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Le riunioni del Consiglio Direttivo, in via ordinaria, sono valide con la presenza di almeno la metà più uno dei suoi componenti e le relative deliberazioni sono valide qualora siano assunte con il voto favorevole dei due terzi dei presenti.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lastRenderedPageBreak/>
        <w:t>Alle riunioni del Consiglio Direttivo partecipa il Collegio dei Revisori Contabili.</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9</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PRESIDENTE E VICE PRESIDENTE DEL FONDO</w:t>
      </w:r>
    </w:p>
    <w:p w:rsidR="005943ED" w:rsidRPr="005943ED" w:rsidRDefault="005943ED" w:rsidP="005943ED">
      <w:pPr>
        <w:widowControl w:val="0"/>
        <w:adjustRightInd w:val="0"/>
        <w:spacing w:line="285" w:lineRule="atLeast"/>
        <w:jc w:val="center"/>
        <w:rPr>
          <w:rFonts w:ascii="Verdana" w:eastAsia="Times New Roman" w:hAnsi="Verdana" w:cs="Times New Roman"/>
          <w:color w:val="0000FF"/>
          <w:sz w:val="20"/>
          <w:szCs w:val="20"/>
          <w:u w:val="single"/>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Presidente ed il Vice Presidente del fondo sono nominati dall'Assemblea tra i componenti del Consiglio Direttivo, alternativamente per la durata di un quadriennio, su designazione dei soci.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Presidente ha la legale rappresentanza del fondo e presiede il Consiglio Direttivo.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xml:space="preserve">In caso di assenza o impedimento o per espressa delega, il Presidente è sostituito dal Vice Presidente.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xml:space="preserve">Il Presidente ed il Vice Presidente agiscono con poteri e firma congiunti in tutti gli atti di straordinaria amministrazione, sia di attività interna che di attività esterna, salvo che per atti che possono essere congiuntamente delegati ad altro componente del Consiglio Direttivo o al Direttore.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sz w:val="24"/>
          <w:szCs w:val="24"/>
          <w:lang w:eastAsia="it-IT"/>
        </w:rPr>
      </w:pPr>
      <w:r w:rsidRPr="005943ED">
        <w:rPr>
          <w:rFonts w:ascii="Verdana" w:eastAsia="Times New Roman" w:hAnsi="Verdana" w:cs="Times New Roman"/>
          <w:b/>
          <w:bCs/>
          <w:color w:val="0000FF"/>
          <w:sz w:val="20"/>
          <w:lang w:eastAsia="it-IT"/>
        </w:rPr>
        <w:t xml:space="preserve"> ARTICOLO 10</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IL COLLEGIO DEI REVISORI CONTABILI</w:t>
      </w:r>
    </w:p>
    <w:p w:rsidR="005943ED" w:rsidRPr="005943ED" w:rsidRDefault="005943ED" w:rsidP="005943ED">
      <w:pPr>
        <w:widowControl w:val="0"/>
        <w:adjustRightInd w:val="0"/>
        <w:spacing w:line="285" w:lineRule="atLeast"/>
        <w:jc w:val="center"/>
        <w:rPr>
          <w:rFonts w:ascii="Verdana" w:eastAsia="Times New Roman" w:hAnsi="Verdana" w:cs="Times New Roman"/>
          <w:b/>
          <w:bCs/>
          <w:color w:val="0000FF"/>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Times New Roman" w:eastAsia="Times New Roman" w:hAnsi="Times New Roman" w:cs="Times New Roman"/>
          <w:sz w:val="24"/>
          <w:szCs w:val="24"/>
          <w:lang w:eastAsia="it-IT"/>
        </w:rPr>
      </w:pPr>
      <w:r w:rsidRPr="005943ED">
        <w:rPr>
          <w:rFonts w:ascii="Verdana" w:eastAsia="Times New Roman" w:hAnsi="Verdana" w:cs="Times New Roman"/>
          <w:color w:val="0000FF"/>
          <w:sz w:val="20"/>
          <w:szCs w:val="20"/>
          <w:lang w:eastAsia="it-IT"/>
        </w:rPr>
        <w:t xml:space="preserve">Il Collegio dei Revisori dei Conti è composto da 3 (tre) membri effettivi e da 2 (due) supplenti designati di comune accordo dai soci: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uno con la funzione di Presidente, scelto tra i professionisti iscritti agli Albi previsti dalla legge, su designazione della parte che non esprime il Presidente del Consiglio Direttivo;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uno effettivo ed un supplente designati, congiuntamente, dalle organizzazioni sindacali dei datori di lavoro di cui all’articolo 1;</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uno effettivo ed un supplente designati, congiuntamente, dalle organizzazioni sindacali dei lavoratori di cui all’articolo 1.</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Qualora, nel periodo di carica del Collegio, venga meno uno o più dei suoi componenti, subentrerà il revisore supplente designato dalla stessa parte sociale, fino al reintegro del Collegio da parte dell'Assemblea, tenendo conto di quanto stabilito al precedente primo comma del presente articolo.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 componenti subentranti rimangono in carica sino alla scadenza del quadriennio in corso.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Collegio dei Revisori controlla l'amministrazione del fondo, accerta la regolare tenuta della contabilità, la corrispondenza dei bilanci alle risultanze dei libri ed alle scritture contabili.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Collegio redige la relazione sul bilancio consuntivo dell'esercizio finanziario, depositandola almeno cinque giorni prima della data fissata per la riunione dell'Assemblea indetta per l'approvazione del suddetto bilancio consuntivo.</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t>I Revisori Contabili partecipano alle sedute dell'Assemblea, del Consiglio Direttivo e dei Comitati di gestione.</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11</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DIRETTORE</w:t>
      </w:r>
      <w:r w:rsidRPr="005943ED">
        <w:rPr>
          <w:rFonts w:ascii="Verdana" w:eastAsia="Times New Roman" w:hAnsi="Verdana" w:cs="Times New Roman"/>
          <w:color w:val="0000FF"/>
          <w:sz w:val="20"/>
          <w:szCs w:val="20"/>
          <w:lang w:eastAsia="it-IT"/>
        </w:rPr>
        <w:t xml:space="preserve"> </w:t>
      </w:r>
    </w:p>
    <w:p w:rsidR="005943ED" w:rsidRPr="005943ED" w:rsidRDefault="005943ED" w:rsidP="005943ED">
      <w:pPr>
        <w:widowControl w:val="0"/>
        <w:adjustRightInd w:val="0"/>
        <w:spacing w:line="285" w:lineRule="atLeast"/>
        <w:jc w:val="center"/>
        <w:rPr>
          <w:rFonts w:ascii="Verdana" w:eastAsia="Times New Roman" w:hAnsi="Verdana" w:cs="Times New Roman"/>
          <w:color w:val="0000FF"/>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Direttore è responsabile delle attività operative del fondo e risponde al Consiglio Direttivo.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Dà attuazione alle delibere degli organi del fondo.</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t>Partecipa in qualità di segretario alle riunioni del Consiglio Direttivo.</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12</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ENTRATE E GESTIONE FINANZIARIA DEL FONDO</w:t>
      </w:r>
    </w:p>
    <w:p w:rsidR="005943ED" w:rsidRPr="005943ED" w:rsidRDefault="005943ED" w:rsidP="005943ED">
      <w:pPr>
        <w:widowControl w:val="0"/>
        <w:adjustRightInd w:val="0"/>
        <w:spacing w:line="285" w:lineRule="atLeast"/>
        <w:jc w:val="center"/>
        <w:rPr>
          <w:rFonts w:ascii="Verdana" w:eastAsia="Times New Roman" w:hAnsi="Verdana" w:cs="Times New Roman"/>
          <w:b/>
          <w:bCs/>
          <w:color w:val="0000FF"/>
          <w:sz w:val="20"/>
          <w:szCs w:val="20"/>
          <w:u w:val="single"/>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Times New Roman" w:eastAsia="Times New Roman" w:hAnsi="Times New Roman" w:cs="Times New Roman"/>
          <w:sz w:val="24"/>
          <w:szCs w:val="24"/>
          <w:lang w:eastAsia="it-IT"/>
        </w:rPr>
      </w:pPr>
      <w:r w:rsidRPr="005943ED">
        <w:rPr>
          <w:rFonts w:ascii="Verdana" w:eastAsia="Times New Roman" w:hAnsi="Verdana" w:cs="Times New Roman"/>
          <w:color w:val="0000FF"/>
          <w:sz w:val="20"/>
          <w:szCs w:val="20"/>
          <w:lang w:eastAsia="it-IT"/>
        </w:rPr>
        <w:t>In via ordinaria costituiscono entrate del fondo: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xml:space="preserve">a) i contributi, ordinari o volontari, versati alla gestione a copertura dei trattamenti, previsti </w:t>
      </w:r>
      <w:r w:rsidRPr="005943ED">
        <w:rPr>
          <w:rFonts w:ascii="Verdana" w:eastAsia="Times New Roman" w:hAnsi="Verdana" w:cs="Times New Roman"/>
          <w:color w:val="0000FF"/>
          <w:sz w:val="20"/>
          <w:szCs w:val="20"/>
          <w:lang w:eastAsia="it-IT"/>
        </w:rPr>
        <w:lastRenderedPageBreak/>
        <w:t>dai contratti nazionali di categoria ed eventualmente dalle leggi;</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b) i contributi versati alla gestione dei trattamenti sanitari integrativi previsti da accordi collettivi territoriali o aziendali che fossero frutto di specifici accordi di armonizzazione;</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xml:space="preserve">c) gli importi versati alla gestione a titolo di quota di ingresso una tantum;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d) i proventi straordinari di qualsiasi specie nonché le liberalità versate da enti o singoli privati.</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t>Il fondo provvede alla riscossione di quote di assistenza contrattuale previste da accordi collettivi stipulati dai soci di cui all’articolo 1. Tali quote costituiscono partite di giro e sono contabilizzate in una voce specifica.</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13</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PATRIMONIO SOCIALE</w:t>
      </w:r>
    </w:p>
    <w:p w:rsidR="005943ED" w:rsidRPr="005943ED" w:rsidRDefault="005943ED" w:rsidP="005943ED">
      <w:pPr>
        <w:widowControl w:val="0"/>
        <w:adjustRightInd w:val="0"/>
        <w:spacing w:line="285" w:lineRule="atLeast"/>
        <w:jc w:val="center"/>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xml:space="preserve">Il Patrimonio Sociale è costituito da ogni e qualsiasi entrata, o bene, che a qualsivoglia titolo, sono pervenuti nella disponibilità del fondo.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regime giuridico relativo ai beni e, più in generale, al patrimonio del fondo, è quello applicato ai “fondi comuni” regolato per solidale irrevocabile volontà dei soci dalle previsioni del presente Statuto, con espressa esclusione e conseguente inapplicabilità delle disposizioni in tema di comunione di beni.</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t>I soci non hanno diritto ad alcun titolo sul patrimonio del fondo sia durante la vita del fondo che in caso di scioglimento dello stesso.</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14</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ESERCIZIO ECONOMICO</w:t>
      </w:r>
    </w:p>
    <w:p w:rsidR="005943ED" w:rsidRPr="005943ED" w:rsidRDefault="005943ED" w:rsidP="005943ED">
      <w:pPr>
        <w:widowControl w:val="0"/>
        <w:adjustRightInd w:val="0"/>
        <w:spacing w:line="285" w:lineRule="atLeast"/>
        <w:jc w:val="center"/>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Il bilancio del fondo è unico.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L'esercizio economico ha inizio il 1° gennaio e termina il 31 dicembre di ciascun anno. Il bilancio consuntivo deve essere approvato entro il 30 aprile dell'anno successivo all'esercizio in oggetto.</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t>Il prelievo, l'erogazione ed il movimento di fondi del fondo devono essere effettuati con firma abbinata del Presidente e del Vice Presidente o su delega congiunta.</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15</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SCIOGLIMENTO – CESSAZIONE</w:t>
      </w:r>
    </w:p>
    <w:p w:rsidR="005943ED" w:rsidRPr="005943ED" w:rsidRDefault="005943ED" w:rsidP="005943ED">
      <w:pPr>
        <w:widowControl w:val="0"/>
        <w:adjustRightInd w:val="0"/>
        <w:spacing w:line="285" w:lineRule="atLeast"/>
        <w:jc w:val="center"/>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Per lo scioglimento del fondo è necessaria la decisione unanime dell'Assemblea.</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L'Assemblea nominerà uno o più liquidatori con la maggioranza prevista per le modifiche statutarie.</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t>In caso di scioglimento del fondo o, in ogni caso, di cessazione per qualsiasi causa, il patrimonio residuo, soddisfatte tutte le eventuali passività, sarà devoluto dai liquidatori, escluso in ogni caso qualsiasi rimborso ai soci, per attività ed iniziative assimilabili a quelle che costituiscono lo scopo del fondo.</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16</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REGOLAMENTO DELLE PRESTAZIONI</w:t>
      </w:r>
    </w:p>
    <w:p w:rsidR="005943ED" w:rsidRPr="005943ED" w:rsidRDefault="005943ED" w:rsidP="005943ED">
      <w:pPr>
        <w:widowControl w:val="0"/>
        <w:adjustRightInd w:val="0"/>
        <w:spacing w:line="285" w:lineRule="atLeast"/>
        <w:jc w:val="center"/>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t xml:space="preserve">Per l'attuazione del presente Statuto il fondo deve dotarsi di un Regolamento delle Prestazioni, che dovrà essere portato all'approvazione dell'Assemblea entro sei mesi dalla costituzione del fondo medesimo.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sz w:val="24"/>
          <w:szCs w:val="24"/>
          <w:lang w:eastAsia="it-IT"/>
        </w:rPr>
      </w:pPr>
      <w:r w:rsidRPr="005943ED">
        <w:rPr>
          <w:rFonts w:ascii="Verdana" w:eastAsia="Times New Roman" w:hAnsi="Verdana" w:cs="Times New Roman"/>
          <w:b/>
          <w:bCs/>
          <w:color w:val="0000FF"/>
          <w:sz w:val="20"/>
          <w:lang w:eastAsia="it-IT"/>
        </w:rPr>
        <w:t>ARTICOLO 17</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lastRenderedPageBreak/>
        <w:t>DISPOSIZIONI FINALI</w:t>
      </w:r>
    </w:p>
    <w:p w:rsidR="005943ED" w:rsidRPr="005943ED" w:rsidRDefault="005943ED" w:rsidP="005943ED">
      <w:pPr>
        <w:widowControl w:val="0"/>
        <w:adjustRightInd w:val="0"/>
        <w:spacing w:line="285" w:lineRule="atLeast"/>
        <w:jc w:val="center"/>
        <w:rPr>
          <w:rFonts w:ascii="Verdana" w:eastAsia="Times New Roman" w:hAnsi="Verdana" w:cs="Times New Roman"/>
          <w:color w:val="0000FF"/>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color w:val="0000FF"/>
          <w:sz w:val="20"/>
          <w:szCs w:val="20"/>
          <w:lang w:eastAsia="it-IT"/>
        </w:rPr>
        <w:t xml:space="preserve">Copia autentica dello Statuto vigente sarà consegnata a ciascun socio. </w:t>
      </w:r>
    </w:p>
    <w:p w:rsidR="005943ED" w:rsidRPr="005943ED" w:rsidRDefault="005943ED" w:rsidP="005943ED">
      <w:pPr>
        <w:widowControl w:val="0"/>
        <w:adjustRightInd w:val="0"/>
        <w:spacing w:line="285" w:lineRule="atLeast"/>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b/>
          <w:bCs/>
          <w:color w:val="0000FF"/>
          <w:sz w:val="24"/>
          <w:szCs w:val="24"/>
          <w:lang w:eastAsia="it-IT"/>
        </w:rPr>
      </w:pPr>
      <w:r w:rsidRPr="005943ED">
        <w:rPr>
          <w:rFonts w:ascii="Verdana" w:eastAsia="Times New Roman" w:hAnsi="Verdana" w:cs="Times New Roman"/>
          <w:b/>
          <w:bCs/>
          <w:color w:val="0000FF"/>
          <w:sz w:val="20"/>
          <w:lang w:eastAsia="it-IT"/>
        </w:rPr>
        <w:t>ARTICOLO 18</w:t>
      </w:r>
    </w:p>
    <w:p w:rsidR="005943ED" w:rsidRPr="005943ED" w:rsidRDefault="005943ED" w:rsidP="005943ED">
      <w:pPr>
        <w:widowControl w:val="0"/>
        <w:adjustRightInd w:val="0"/>
        <w:spacing w:line="285" w:lineRule="atLeast"/>
        <w:jc w:val="center"/>
        <w:rPr>
          <w:rFonts w:ascii="Times New Roman" w:eastAsia="Times New Roman" w:hAnsi="Times New Roman" w:cs="Times New Roman"/>
          <w:color w:val="000000"/>
          <w:sz w:val="24"/>
          <w:szCs w:val="24"/>
          <w:lang w:eastAsia="it-IT"/>
        </w:rPr>
      </w:pPr>
      <w:r w:rsidRPr="005943ED">
        <w:rPr>
          <w:rFonts w:ascii="Verdana" w:eastAsia="Times New Roman" w:hAnsi="Verdana" w:cs="Times New Roman"/>
          <w:b/>
          <w:bCs/>
          <w:color w:val="0000FF"/>
          <w:sz w:val="20"/>
          <w:lang w:eastAsia="it-IT"/>
        </w:rPr>
        <w:t>RINVIO ALLE LEGGI – CONTROVERSIE</w:t>
      </w:r>
    </w:p>
    <w:p w:rsidR="005943ED" w:rsidRPr="005943ED" w:rsidRDefault="005943ED" w:rsidP="005943ED">
      <w:pPr>
        <w:widowControl w:val="0"/>
        <w:adjustRightInd w:val="0"/>
        <w:spacing w:line="285" w:lineRule="atLeast"/>
        <w:jc w:val="center"/>
        <w:rPr>
          <w:rFonts w:ascii="Verdana" w:eastAsia="Times New Roman" w:hAnsi="Verdana" w:cs="Times New Roman"/>
          <w:color w:val="000000"/>
          <w:sz w:val="20"/>
          <w:szCs w:val="20"/>
          <w:lang w:eastAsia="it-IT"/>
        </w:rPr>
      </w:pPr>
      <w:r w:rsidRPr="005943ED">
        <w:rPr>
          <w:rFonts w:ascii="Times New Roman" w:eastAsia="Times New Roman" w:hAnsi="Times New Roman" w:cs="Times New Roman"/>
          <w:color w:val="000000"/>
          <w:sz w:val="24"/>
          <w:szCs w:val="24"/>
          <w:lang w:eastAsia="it-IT"/>
        </w:rPr>
        <w:t>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Per tutto quanto non espressamente previsto dal presente Statuto si applicano le norme di legge in materia di associazioni di fatto senza scopo di lucro.</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 xml:space="preserve">Lo Statuto ed il regolamento del fondo saranno tempestivamente modificati ed adeguati alle disposizioni di legge che dovessero, in futuro, disciplinare l'assistenza sanitaria integrativa. </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Per qualsiasi controversia legale è competente il foro di Roma.</w:t>
      </w:r>
    </w:p>
    <w:p w:rsidR="005943ED" w:rsidRPr="005943ED" w:rsidRDefault="005943ED" w:rsidP="005943ED">
      <w:pPr>
        <w:widowControl w:val="0"/>
        <w:adjustRightInd w:val="0"/>
        <w:spacing w:line="285" w:lineRule="atLeast"/>
        <w:rPr>
          <w:rFonts w:ascii="Verdana" w:eastAsia="Times New Roman" w:hAnsi="Verdana" w:cs="Times New Roman"/>
          <w:color w:val="0000FF"/>
          <w:sz w:val="20"/>
          <w:szCs w:val="20"/>
          <w:lang w:eastAsia="it-IT"/>
        </w:rPr>
      </w:pPr>
      <w:r w:rsidRPr="005943ED">
        <w:rPr>
          <w:rFonts w:ascii="Verdana" w:eastAsia="Times New Roman" w:hAnsi="Verdana" w:cs="Times New Roman"/>
          <w:color w:val="0000FF"/>
          <w:sz w:val="20"/>
          <w:szCs w:val="20"/>
          <w:lang w:eastAsia="it-IT"/>
        </w:rPr>
        <w:t>Qualsiasi controversia insorgesse tra i soci potrà essere demandata al giudizio di tre arbitri amichevoli compositori scelti tra gli iscritti all'albo tenuto dall'Ordine degli Avvocati. Il Collegio arbitrale deciderà con poteri di amichevole composizione, secondo equità e con giudizio inappellabile.</w:t>
      </w:r>
    </w:p>
    <w:p w:rsidR="00F41A40" w:rsidRDefault="00F41A40"/>
    <w:sectPr w:rsidR="00F41A40" w:rsidSect="00F41A4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compat/>
  <w:rsids>
    <w:rsidRoot w:val="005943ED"/>
    <w:rsid w:val="005943ED"/>
    <w:rsid w:val="007152B3"/>
    <w:rsid w:val="00F41A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1A4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943E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2158</Words>
  <Characters>12303</Characters>
  <Application>Microsoft Office Word</Application>
  <DocSecurity>0</DocSecurity>
  <Lines>102</Lines>
  <Paragraphs>28</Paragraphs>
  <ScaleCrop>false</ScaleCrop>
  <Company/>
  <LinksUpToDate>false</LinksUpToDate>
  <CharactersWithSpaces>14433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2011-07-08T11:20:00Z</dcterms:created>
  <dcterms:modified xsi:type="dcterms:W3CDTF">2011-07-08T11:21:00Z</dcterms:modified>
</cp:coreProperties>
</file>